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0" w:lin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1 до листа МОН </w:t>
      </w:r>
    </w:p>
    <w:p w:rsidR="00000000" w:rsidDel="00000000" w:rsidP="00000000" w:rsidRDefault="00000000" w:rsidRPr="00000000" w14:paraId="00000002">
      <w:pPr>
        <w:spacing w:after="120" w:before="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after="0" w:before="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Регіональні пріоритети на 2025 рік </w:t>
      </w:r>
    </w:p>
    <w:p w:rsidR="00000000" w:rsidDel="00000000" w:rsidP="00000000" w:rsidRDefault="00000000" w:rsidRPr="00000000" w14:paraId="00000004">
      <w:pPr>
        <w:spacing w:after="0" w:before="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для врахування при підготовці проєктних заявок за напрямом </w:t>
      </w:r>
    </w:p>
    <w:p w:rsidR="00000000" w:rsidDel="00000000" w:rsidP="00000000" w:rsidRDefault="00000000" w:rsidRPr="00000000" w14:paraId="00000005">
      <w:pPr>
        <w:spacing w:after="0" w:before="0"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КА2: Співпраця між організаціями та установами, </w:t>
      </w:r>
    </w:p>
    <w:p w:rsidR="00000000" w:rsidDel="00000000" w:rsidP="00000000" w:rsidRDefault="00000000" w:rsidRPr="00000000" w14:paraId="00000006">
      <w:pPr>
        <w:spacing w:after="0" w:before="0"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тип проєкту: Розбудова потенціалу у сфері вищої освіти (Strand 1, Strand 2)</w:t>
      </w:r>
    </w:p>
    <w:p w:rsidR="00000000" w:rsidDel="00000000" w:rsidP="00000000" w:rsidRDefault="00000000" w:rsidRPr="00000000" w14:paraId="00000007">
      <w:pPr>
        <w:spacing w:after="120" w:before="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120" w:before="0" w:line="240" w:lineRule="auto"/>
        <w:ind w:right="-4.724409448817823"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Green Deal (Зелений курс). </w:t>
      </w:r>
      <w:r w:rsidDel="00000000" w:rsidR="00000000" w:rsidRPr="00000000">
        <w:rPr>
          <w:rFonts w:ascii="Times New Roman" w:cs="Times New Roman" w:eastAsia="Times New Roman" w:hAnsi="Times New Roman"/>
          <w:sz w:val="28"/>
          <w:szCs w:val="28"/>
          <w:highlight w:val="white"/>
          <w:rtl w:val="0"/>
        </w:rPr>
        <w:t xml:space="preserve">Support the modernisation of economies, making them more competitive and innovative, while ensuring the green transition towards climate neutrality. Research &amp; innovation initiatives are to focus upon climate change mitigation and adaptation, the greening of cities, promotion and implementation of new sustainable value chains and green skills &amp; jobs. Academic cooperation should help provide answers to public demands on urban and rural development, energy efficiency, health and natural resource and waste management.</w:t>
      </w:r>
      <w:r w:rsidDel="00000000" w:rsidR="00000000" w:rsidRPr="00000000">
        <w:rPr>
          <w:rtl w:val="0"/>
        </w:rPr>
      </w:r>
    </w:p>
    <w:p w:rsidR="00000000" w:rsidDel="00000000" w:rsidP="00000000" w:rsidRDefault="00000000" w:rsidRPr="00000000" w14:paraId="00000009">
      <w:pPr>
        <w:spacing w:after="120" w:before="0" w:line="240" w:lineRule="auto"/>
        <w:ind w:right="-4.724409448817823"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Digital transformation (Цифрова трансформація).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Foster an effective, inclusive and gender-sensitive digital transformation in education and science, in the first place by addressing the digital skills gap. Priority areas in the digital strand include the development of connectivity solutions empowering citizens through the improvement of digital skills and digital literacy, distance learning, and learning and teaching innovations, specifically in remote and rural areas and vulnerable communities. Priority should also be given to fostering links between Education, Research and Business in the area of digitalisation. Calls related to Data infrastructure, Data management and SME/business digitalisation are encouraged.</w:t>
      </w:r>
      <w:r w:rsidDel="00000000" w:rsidR="00000000" w:rsidRPr="00000000">
        <w:rPr>
          <w:rtl w:val="0"/>
        </w:rPr>
      </w:r>
    </w:p>
    <w:p w:rsidR="00000000" w:rsidDel="00000000" w:rsidP="00000000" w:rsidRDefault="00000000" w:rsidRPr="00000000" w14:paraId="0000000A">
      <w:pPr>
        <w:spacing w:after="120" w:before="0" w:line="240" w:lineRule="auto"/>
        <w:ind w:right="-4.724409448817823"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Integration of migrants (Інтеграція мігрантів). </w:t>
      </w:r>
      <w:r w:rsidDel="00000000" w:rsidR="00000000" w:rsidRPr="00000000">
        <w:rPr>
          <w:rFonts w:ascii="Times New Roman" w:cs="Times New Roman" w:eastAsia="Times New Roman" w:hAnsi="Times New Roman"/>
          <w:sz w:val="28"/>
          <w:szCs w:val="28"/>
          <w:highlight w:val="white"/>
          <w:rtl w:val="0"/>
        </w:rPr>
        <w:t xml:space="preserve">Support education initiatives contributing to the development of a regional higher education area, particularly credit transfer systems and qualification, degree and credential recognition. Provide for the integration of migrants and displaced persons by granting access to education, including language education and scholarships.</w:t>
      </w:r>
      <w:r w:rsidDel="00000000" w:rsidR="00000000" w:rsidRPr="00000000">
        <w:rPr>
          <w:rtl w:val="0"/>
        </w:rPr>
      </w:r>
    </w:p>
    <w:p w:rsidR="00000000" w:rsidDel="00000000" w:rsidP="00000000" w:rsidRDefault="00000000" w:rsidRPr="00000000" w14:paraId="0000000B">
      <w:pPr>
        <w:spacing w:after="120" w:before="0" w:line="240" w:lineRule="auto"/>
        <w:ind w:right="-4.724409448817823"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Governance, peace, security and human development (Урядування, мир, безпека та людський розвиток). </w:t>
      </w:r>
      <w:r w:rsidDel="00000000" w:rsidR="00000000" w:rsidRPr="00000000">
        <w:rPr>
          <w:rFonts w:ascii="Times New Roman" w:cs="Times New Roman" w:eastAsia="Times New Roman" w:hAnsi="Times New Roman"/>
          <w:sz w:val="28"/>
          <w:szCs w:val="28"/>
          <w:highlight w:val="white"/>
          <w:rtl w:val="0"/>
        </w:rPr>
        <w:t xml:space="preserve">Contribute to an area of democracy, prosperity, stability, security and increased cooperation between resilient and inclusive societies sharing common values. Projects should notably focus on rule of law reforms, protection of human rights, the fight against corruption and discrimination, media literacy, the role of an independent media and civil society and promotion of gender equality.</w:t>
      </w:r>
      <w:r w:rsidDel="00000000" w:rsidR="00000000" w:rsidRPr="00000000">
        <w:rPr>
          <w:rtl w:val="0"/>
        </w:rPr>
      </w:r>
    </w:p>
    <w:p w:rsidR="00000000" w:rsidDel="00000000" w:rsidP="00000000" w:rsidRDefault="00000000" w:rsidRPr="00000000" w14:paraId="0000000C">
      <w:pPr>
        <w:spacing w:after="120" w:before="0" w:line="240" w:lineRule="auto"/>
        <w:ind w:right="-4.724409448817823"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Sustainable growth and jobs (Стале зростання та успішне працевлаштування). </w:t>
      </w:r>
      <w:r w:rsidDel="00000000" w:rsidR="00000000" w:rsidRPr="00000000">
        <w:rPr>
          <w:rFonts w:ascii="Times New Roman" w:cs="Times New Roman" w:eastAsia="Times New Roman" w:hAnsi="Times New Roman"/>
          <w:sz w:val="28"/>
          <w:szCs w:val="28"/>
          <w:highlight w:val="white"/>
          <w:rtl w:val="0"/>
        </w:rPr>
        <w:t xml:space="preserve">Investing in young people and better connecting education, research and innovation with private sector needs are crucial building blocks in achieving economies that work for all. Areas of particular focus are teacher training, youth entrepreneurship, the offer and uptake of Science, Technology, Engineering, Arts and Maths (STEAM) skills, and related gender inclusiveness. Linkages with the green transition towards climate neutrality should be stressed. Particular attention should be given to vulnerable communities as well as remote areas, including rural areas.</w:t>
      </w:r>
      <w:r w:rsidDel="00000000" w:rsidR="00000000" w:rsidRPr="00000000">
        <w:br w:type="page"/>
      </w:r>
      <w:r w:rsidDel="00000000" w:rsidR="00000000" w:rsidRPr="00000000">
        <w:rPr>
          <w:rtl w:val="0"/>
        </w:rPr>
      </w:r>
    </w:p>
    <w:p w:rsidR="00000000" w:rsidDel="00000000" w:rsidP="00000000" w:rsidRDefault="00000000" w:rsidRPr="00000000" w14:paraId="0000000D">
      <w:pPr>
        <w:spacing w:after="120" w:before="0" w:lin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2 до листа МОН </w:t>
      </w:r>
    </w:p>
    <w:p w:rsidR="00000000" w:rsidDel="00000000" w:rsidP="00000000" w:rsidRDefault="00000000" w:rsidRPr="00000000" w14:paraId="0000000E">
      <w:pPr>
        <w:spacing w:after="120" w:before="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after="0" w:before="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Національні пріоритети на 2026 рік </w:t>
      </w:r>
    </w:p>
    <w:p w:rsidR="00000000" w:rsidDel="00000000" w:rsidP="00000000" w:rsidRDefault="00000000" w:rsidRPr="00000000" w14:paraId="00000010">
      <w:pPr>
        <w:spacing w:after="0" w:before="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для підготовки проєктних заявок</w:t>
      </w:r>
    </w:p>
    <w:p w:rsidR="00000000" w:rsidDel="00000000" w:rsidP="00000000" w:rsidRDefault="00000000" w:rsidRPr="00000000" w14:paraId="00000011">
      <w:pPr>
        <w:spacing w:after="0" w:before="0" w:line="240" w:lineRule="auto"/>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за напрямом </w:t>
      </w:r>
      <w:r w:rsidDel="00000000" w:rsidR="00000000" w:rsidRPr="00000000">
        <w:rPr>
          <w:rFonts w:ascii="Times New Roman" w:cs="Times New Roman" w:eastAsia="Times New Roman" w:hAnsi="Times New Roman"/>
          <w:b w:val="1"/>
          <w:bCs w:val="1"/>
          <w:i w:val="1"/>
          <w:iCs w:val="1"/>
          <w:sz w:val="28"/>
          <w:szCs w:val="28"/>
          <w:rtl w:val="0"/>
        </w:rPr>
        <w:t xml:space="preserve">КА2: Співпраця між організаціями та установами, </w:t>
      </w:r>
    </w:p>
    <w:p w:rsidR="00000000" w:rsidDel="00000000" w:rsidP="00000000" w:rsidRDefault="00000000" w:rsidRPr="00000000" w14:paraId="00000012">
      <w:pPr>
        <w:spacing w:after="0" w:before="0" w:line="240" w:lineRule="auto"/>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тип проєкту: Розбудова потенціалу у сфері вищої освіти </w:t>
      </w:r>
    </w:p>
    <w:p w:rsidR="00000000" w:rsidDel="00000000" w:rsidP="00000000" w:rsidRDefault="00000000" w:rsidRPr="00000000" w14:paraId="00000013">
      <w:pPr>
        <w:spacing w:after="0" w:before="0" w:line="240" w:lineRule="auto"/>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(Strand 3 </w:t>
      </w:r>
      <w:r w:rsidDel="00000000" w:rsidR="00000000" w:rsidRPr="00000000">
        <w:rPr>
          <w:rFonts w:ascii="Times New Roman" w:cs="Times New Roman" w:eastAsia="Times New Roman" w:hAnsi="Times New Roman"/>
          <w:b w:val="1"/>
          <w:bCs w:val="1"/>
          <w:i w:val="1"/>
          <w:iCs w:val="1"/>
          <w:sz w:val="28"/>
          <w:szCs w:val="28"/>
          <w:highlight w:val="white"/>
          <w:rtl w:val="0"/>
        </w:rPr>
        <w:t xml:space="preserve">Структурні проєкти на підтримку реформ</w:t>
      </w:r>
      <w:r w:rsidDel="00000000" w:rsidR="00000000" w:rsidRPr="00000000">
        <w:rPr>
          <w:rFonts w:ascii="Times New Roman" w:cs="Times New Roman" w:eastAsia="Times New Roman" w:hAnsi="Times New Roman"/>
          <w:b w:val="1"/>
          <w:bCs w:val="1"/>
          <w:i w:val="1"/>
          <w:iCs w:val="1"/>
          <w:sz w:val="28"/>
          <w:szCs w:val="28"/>
          <w:rtl w:val="0"/>
        </w:rPr>
        <w:t xml:space="preserve">)</w:t>
      </w:r>
    </w:p>
    <w:p w:rsidR="00000000" w:rsidDel="00000000" w:rsidP="00000000" w:rsidRDefault="00000000" w:rsidRPr="00000000" w14:paraId="00000014">
      <w:pPr>
        <w:spacing w:after="120" w:line="240" w:lineRule="auto"/>
        <w:ind w:right="-4.724409448817823" w:firstLine="566.929133858267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after="120" w:line="240" w:lineRule="auto"/>
        <w:ind w:right="-4.724409448817823"/>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Національний пріоритет 1. Європейська інтеграція України</w:t>
      </w:r>
    </w:p>
    <w:p w:rsidR="00000000" w:rsidDel="00000000" w:rsidP="00000000" w:rsidRDefault="00000000" w:rsidRPr="00000000" w14:paraId="00000016">
      <w:pPr>
        <w:spacing w:after="120" w:line="240" w:lineRule="auto"/>
        <w:ind w:right="-4.724409448817823"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Запровадження в рамках підготовки фахівців за гуманітарними та соціально-економічними спеціальностями (зокрема, публічне управління та адміністрування, міжнародні відносини, право, міжнародне право, політологія, історія, соціологія, психологія, філологія, філософія, тощо) та підвищення кваліфікації викладачів, окремих курсів, модулів, програм з метою поширення інформації про:</w:t>
      </w:r>
    </w:p>
    <w:p w:rsidR="00000000" w:rsidDel="00000000" w:rsidP="00000000" w:rsidRDefault="00000000" w:rsidRPr="00000000" w14:paraId="00000017">
      <w:pPr>
        <w:spacing w:after="120" w:line="240" w:lineRule="auto"/>
        <w:ind w:right="-4.724409448817823"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особливості переговорного процесу про вступ України до Європейського Союзу, зміст переговорних розділів EU acquis, розширення ЄС, передумови відкриття переговорів за переговорними розділами, інституційна архітектура переговорів про вступ до ЄС, інститути ЄС, політики, способи прийняття рішень, інструменти моніторингу і звітності в інститутах ЄС;</w:t>
      </w:r>
    </w:p>
    <w:p w:rsidR="00000000" w:rsidDel="00000000" w:rsidP="00000000" w:rsidRDefault="00000000" w:rsidRPr="00000000" w14:paraId="00000018">
      <w:pPr>
        <w:spacing w:after="120" w:line="240" w:lineRule="auto"/>
        <w:ind w:right="-4.724409448817823" w:firstLine="566.9291338582675"/>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sz w:val="28"/>
          <w:szCs w:val="28"/>
          <w:rtl w:val="0"/>
        </w:rPr>
        <w:t xml:space="preserve">підготовка до асоційованої участі України в Програмі ЄС Еразмус+, забезпечення інституційного, аналітичного, законодавчого та інформаційного підґрунтя для повної асоціації з Еразмус+ з урахуванням вимог Регламенту (ЄС) 2021/817 та інших acquis ЄС, аналіз готовності системи освіти, зокрема українських учасників до асоційованої участі в Еразмус+ зокрема на основі вимог, що визначаються умовами Програми.</w:t>
      </w:r>
      <w:r w:rsidDel="00000000" w:rsidR="00000000" w:rsidRPr="00000000">
        <w:rPr>
          <w:rtl w:val="0"/>
        </w:rPr>
      </w:r>
    </w:p>
    <w:p w:rsidR="00000000" w:rsidDel="00000000" w:rsidP="00000000" w:rsidRDefault="00000000" w:rsidRPr="00000000" w14:paraId="00000019">
      <w:pPr>
        <w:spacing w:after="120" w:line="240" w:lineRule="auto"/>
        <w:ind w:right="-4.724409448817823"/>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A">
      <w:pPr>
        <w:spacing w:after="120" w:line="240" w:lineRule="auto"/>
        <w:ind w:right="-4.724409448817823"/>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Національний пріоритет 2. Гармонізація освітньої статистики України із стандартами ЄС</w:t>
      </w:r>
    </w:p>
    <w:p w:rsidR="00000000" w:rsidDel="00000000" w:rsidP="00000000" w:rsidRDefault="00000000" w:rsidRPr="00000000" w14:paraId="0000001B">
      <w:pPr>
        <w:spacing w:after="120" w:line="240" w:lineRule="auto"/>
        <w:ind w:right="-4.724409448817823"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Узгодження статистичних показників сфери освіти з показниками та метаданими Eurostat у сферах освіти та навчання, в тому числі на виконання Дорожньої карти гармонізації системи показників освітньої статистики України із стандартами ЄС, затвердженої наказом МОН від 15.07.2025 № 1010, зокрема:</w:t>
      </w:r>
    </w:p>
    <w:p w:rsidR="00000000" w:rsidDel="00000000" w:rsidP="00000000" w:rsidRDefault="00000000" w:rsidRPr="00000000" w14:paraId="0000001C">
      <w:pPr>
        <w:spacing w:after="120" w:line="240" w:lineRule="auto"/>
        <w:ind w:right="-4.724409448817823"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формування політики у сферах освіти, навчання, професійної підготовки для досягнення Стратегічних орієнтирів ЄС у галузі освіти і навчання на період 2021 – 2030 рр, зокрема Цільових показників ЄС для освіти</w:t>
      </w:r>
      <w:r w:rsidDel="00000000" w:rsidR="00000000" w:rsidRPr="00000000">
        <w:rPr>
          <w:rFonts w:ascii="Times New Roman" w:cs="Times New Roman" w:eastAsia="Times New Roman" w:hAnsi="Times New Roman"/>
          <w:sz w:val="28"/>
          <w:szCs w:val="28"/>
          <w:vertAlign w:val="superscript"/>
        </w:rPr>
        <w:footnoteReference w:customMarkFollows="0" w:id="0"/>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D">
      <w:pPr>
        <w:spacing w:after="120" w:line="240" w:lineRule="auto"/>
        <w:ind w:right="-4.724409448817823" w:firstLine="566.929133858267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spacing w:after="120" w:line="240" w:lineRule="auto"/>
        <w:ind w:right="-4.724409448817823" w:firstLine="566.929133858267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spacing w:after="120" w:line="240" w:lineRule="auto"/>
        <w:ind w:right="-4.724409448817823" w:firstLine="566.929133858267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spacing w:after="120" w:line="240" w:lineRule="auto"/>
        <w:ind w:right="-4.724409448817823"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адаптація та стандартизація методології (впровадження класифікацій, узгоджених із європейськими практиками), розробка та модернізація цифрових платформ для статистики освіти, розбудова спроможності у сфері аналітики (навчальні програми, тренінги, обмін знаннями для аналітиків, адміністраторів, статистичних служб, підвищення здатності використовувати дані для політики), відкритість і публічність даних (розробка і запуск дашбордів, платформ відкритих даних).</w:t>
      </w:r>
    </w:p>
    <w:p w:rsidR="00000000" w:rsidDel="00000000" w:rsidP="00000000" w:rsidRDefault="00000000" w:rsidRPr="00000000" w14:paraId="00000021">
      <w:pPr>
        <w:spacing w:after="120" w:line="240" w:lineRule="auto"/>
        <w:ind w:right="-4.72440944881782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Національний пріоритет 3. Вища освіта для повоєнного відновлення України </w:t>
      </w:r>
      <w:r w:rsidDel="00000000" w:rsidR="00000000" w:rsidRPr="00000000">
        <w:rPr>
          <w:rtl w:val="0"/>
        </w:rPr>
      </w:r>
    </w:p>
    <w:p w:rsidR="00000000" w:rsidDel="00000000" w:rsidP="00000000" w:rsidRDefault="00000000" w:rsidRPr="00000000" w14:paraId="00000023">
      <w:pPr>
        <w:spacing w:after="120" w:line="240" w:lineRule="auto"/>
        <w:ind w:firstLine="566.9291338582675"/>
        <w:jc w:val="both"/>
        <w:rPr>
          <w:rFonts w:ascii="Times New Roman" w:cs="Times New Roman" w:eastAsia="Times New Roman" w:hAnsi="Times New Roman"/>
          <w:color w:val="1c1c1b"/>
          <w:sz w:val="28"/>
          <w:szCs w:val="28"/>
        </w:rPr>
      </w:pPr>
      <w:r w:rsidDel="00000000" w:rsidR="00000000" w:rsidRPr="00000000">
        <w:rPr>
          <w:rFonts w:ascii="Times New Roman" w:cs="Times New Roman" w:eastAsia="Times New Roman" w:hAnsi="Times New Roman"/>
          <w:sz w:val="28"/>
          <w:szCs w:val="28"/>
          <w:rtl w:val="0"/>
        </w:rPr>
        <w:t xml:space="preserve">розвиток вищої освіти для підготовки фахівців за напрямами </w:t>
      </w:r>
      <w:r w:rsidDel="00000000" w:rsidR="00000000" w:rsidRPr="00000000">
        <w:rPr>
          <w:rFonts w:ascii="Times New Roman" w:cs="Times New Roman" w:eastAsia="Times New Roman" w:hAnsi="Times New Roman"/>
          <w:color w:val="1c1c1b"/>
          <w:sz w:val="28"/>
          <w:szCs w:val="28"/>
          <w:rtl w:val="0"/>
        </w:rPr>
        <w:t xml:space="preserve">протезування-ортезування, реабілітації та психології, розмінування та екологічного відновлення;</w:t>
      </w:r>
    </w:p>
    <w:p w:rsidR="00000000" w:rsidDel="00000000" w:rsidP="00000000" w:rsidRDefault="00000000" w:rsidRPr="00000000" w14:paraId="00000024">
      <w:pP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синергія та взаємодія вищої освіти з бізнесом, зокрема в будівельній, аграрній, біотехнологічній галузях; </w:t>
      </w:r>
    </w:p>
    <w:p w:rsidR="00000000" w:rsidDel="00000000" w:rsidP="00000000" w:rsidRDefault="00000000" w:rsidRPr="00000000" w14:paraId="00000025">
      <w:pP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моделі залучення в Україну якісних трудових ресурсів за допомогою вищої освіти (у тому числі через спільні PhD програми та програми аспірантури інноваційного формату (зокрема industrial doctorate), через стажування на підприємствах та організаціях тощо); </w:t>
      </w:r>
    </w:p>
    <w:p w:rsidR="00000000" w:rsidDel="00000000" w:rsidP="00000000" w:rsidRDefault="00000000" w:rsidRPr="00000000" w14:paraId="00000026">
      <w:pP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посилення залучення закладів вищої освіти до процесів повоєнного відновлення регіонів та громад відповідно до Цілей сталого розвитку (ЦСР) та зелених трансформацій, цифровізації;</w:t>
      </w:r>
    </w:p>
    <w:p w:rsidR="00000000" w:rsidDel="00000000" w:rsidP="00000000" w:rsidRDefault="00000000" w:rsidRPr="00000000" w14:paraId="00000027">
      <w:pP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створення мережевої підтримки розвитку переміщених закладів вищої освіти, ефективних моделі академічної кооперації всіх ЗВО в рамках регіонів, запровадження інструментів координації та співпраці між переміщеними ЗВО для досягнення стійкості та кращих результатів. </w:t>
      </w:r>
    </w:p>
    <w:p w:rsidR="00000000" w:rsidDel="00000000" w:rsidP="00000000" w:rsidRDefault="00000000" w:rsidRPr="00000000" w14:paraId="00000028">
      <w:pPr>
        <w:spacing w:after="120" w:line="240" w:lineRule="auto"/>
        <w:ind w:firstLine="284"/>
        <w:jc w:val="both"/>
        <w:rPr>
          <w:rFonts w:ascii="Times New Roman" w:cs="Times New Roman" w:eastAsia="Times New Roman" w:hAnsi="Times New Roman"/>
          <w:i w:val="1"/>
          <w:iCs w:val="1"/>
          <w:sz w:val="28"/>
          <w:szCs w:val="28"/>
        </w:rPr>
      </w:pPr>
      <w:r w:rsidDel="00000000" w:rsidR="00000000" w:rsidRPr="00000000">
        <w:rPr>
          <w:rtl w:val="0"/>
        </w:rPr>
      </w:r>
    </w:p>
    <w:p w:rsidR="00000000" w:rsidDel="00000000" w:rsidP="00000000" w:rsidRDefault="00000000" w:rsidRPr="00000000" w14:paraId="00000029">
      <w:pPr>
        <w:spacing w:after="12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Національний пріоритет 4. Інклюзивний, інноваційний та взаємопов’язаний простір вищої освіти, який відповідає третій місії університету, участь закладів освіти у реінтеграції військовослужбовців у цивільне життя через освіту і професійну підготовку </w:t>
      </w:r>
    </w:p>
    <w:p w:rsidR="00000000" w:rsidDel="00000000" w:rsidP="00000000" w:rsidRDefault="00000000" w:rsidRPr="00000000" w14:paraId="0000002A">
      <w:pPr>
        <w:spacing w:after="120" w:line="240" w:lineRule="auto"/>
        <w:ind w:firstLine="566.9291338582675"/>
        <w:jc w:val="both"/>
        <w:rPr>
          <w:rFonts w:ascii="Times New Roman" w:cs="Times New Roman" w:eastAsia="Times New Roman" w:hAnsi="Times New Roman"/>
          <w:sz w:val="28"/>
          <w:szCs w:val="28"/>
        </w:rPr>
      </w:pPr>
      <w:bookmarkStart w:colFirst="0" w:colLast="0" w:name="_heading=h.cxdea8k6f0u5" w:id="0"/>
      <w:bookmarkEnd w:id="0"/>
      <w:r w:rsidDel="00000000" w:rsidR="00000000" w:rsidRPr="00000000">
        <w:rPr>
          <w:rFonts w:ascii="Times New Roman" w:cs="Times New Roman" w:eastAsia="Times New Roman" w:hAnsi="Times New Roman"/>
          <w:sz w:val="28"/>
          <w:szCs w:val="28"/>
          <w:rtl w:val="0"/>
        </w:rPr>
        <w:t xml:space="preserve">запровадження на всіх рівнях вищої освіти систем і процесів, які забезпечують посилення соціального виміру вищої освіти в Європейському просторі вищої освіти (ЄПВО) відповідно до Римського комюніке 2020 року, а також зобов’язань Тиранського комюніке 2024 року; </w:t>
      </w:r>
    </w:p>
    <w:p w:rsidR="00000000" w:rsidDel="00000000" w:rsidP="00000000" w:rsidRDefault="00000000" w:rsidRPr="00000000" w14:paraId="0000002B">
      <w:pPr>
        <w:spacing w:after="120" w:line="240" w:lineRule="auto"/>
        <w:ind w:firstLine="566.9291338582675"/>
        <w:jc w:val="both"/>
        <w:rPr>
          <w:rFonts w:ascii="Times New Roman" w:cs="Times New Roman" w:eastAsia="Times New Roman" w:hAnsi="Times New Roman"/>
          <w:sz w:val="28"/>
          <w:szCs w:val="28"/>
        </w:rPr>
      </w:pPr>
      <w:bookmarkStart w:colFirst="0" w:colLast="0" w:name="_heading=h.2q5ib5ywx4xb" w:id="1"/>
      <w:bookmarkEnd w:id="1"/>
      <w:r w:rsidDel="00000000" w:rsidR="00000000" w:rsidRPr="00000000">
        <w:rPr>
          <w:rFonts w:ascii="Times New Roman" w:cs="Times New Roman" w:eastAsia="Times New Roman" w:hAnsi="Times New Roman"/>
          <w:sz w:val="28"/>
          <w:szCs w:val="28"/>
          <w:rtl w:val="0"/>
        </w:rPr>
        <w:t xml:space="preserve">заклад вищої освіти як драйвер відновлення регіону/локальної екосистеми та повернення учасників освітнього процесу в Україну після завершення воєнних (бойових) дій;</w:t>
      </w:r>
    </w:p>
    <w:p w:rsidR="00000000" w:rsidDel="00000000" w:rsidP="00000000" w:rsidRDefault="00000000" w:rsidRPr="00000000" w14:paraId="0000002C">
      <w:pPr>
        <w:spacing w:after="120" w:line="240" w:lineRule="auto"/>
        <w:ind w:firstLine="566.9291338582675"/>
        <w:jc w:val="both"/>
        <w:rPr>
          <w:rFonts w:ascii="Times New Roman" w:cs="Times New Roman" w:eastAsia="Times New Roman" w:hAnsi="Times New Roman"/>
          <w:sz w:val="28"/>
          <w:szCs w:val="28"/>
        </w:rPr>
      </w:pPr>
      <w:bookmarkStart w:colFirst="0" w:colLast="0" w:name="_heading=h.vy839nnty78h" w:id="2"/>
      <w:bookmarkEnd w:id="2"/>
      <w:r w:rsidDel="00000000" w:rsidR="00000000" w:rsidRPr="00000000">
        <w:rPr>
          <w:rFonts w:ascii="Times New Roman" w:cs="Times New Roman" w:eastAsia="Times New Roman" w:hAnsi="Times New Roman"/>
          <w:sz w:val="28"/>
          <w:szCs w:val="28"/>
          <w:rtl w:val="0"/>
        </w:rPr>
        <w:t xml:space="preserve">підвищення гнучкості закладів у задоволенні додаткових освітніх потреб та формуванні індивідуальних освітніх траєкторій ветеранів війни під час та/або після завершення їх професійної адаптації до цивільного життя, формування партнерських мереж для навчання конкурентоспроможним навичкам ветеранів та розвитку послуг у сфері освіти дорослих.</w:t>
      </w:r>
    </w:p>
    <w:p w:rsidR="00000000" w:rsidDel="00000000" w:rsidP="00000000" w:rsidRDefault="00000000" w:rsidRPr="00000000" w14:paraId="0000002D">
      <w:pPr>
        <w:spacing w:after="120" w:line="240" w:lineRule="auto"/>
        <w:ind w:firstLine="284"/>
        <w:jc w:val="both"/>
        <w:rPr>
          <w:rFonts w:ascii="Times New Roman" w:cs="Times New Roman" w:eastAsia="Times New Roman" w:hAnsi="Times New Roman"/>
          <w:i w:val="1"/>
          <w:iCs w:val="1"/>
          <w:sz w:val="28"/>
          <w:szCs w:val="28"/>
        </w:rPr>
      </w:pPr>
      <w:r w:rsidDel="00000000" w:rsidR="00000000" w:rsidRPr="00000000">
        <w:rPr>
          <w:rtl w:val="0"/>
        </w:rPr>
      </w:r>
    </w:p>
    <w:p w:rsidR="00000000" w:rsidDel="00000000" w:rsidP="00000000" w:rsidRDefault="00000000" w:rsidRPr="00000000" w14:paraId="0000002E">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Національний пріоритет 5. Індивідуалізація здобуття вищої освіти </w:t>
      </w:r>
      <w:r w:rsidDel="00000000" w:rsidR="00000000" w:rsidRPr="00000000">
        <w:rPr>
          <w:rtl w:val="0"/>
        </w:rPr>
      </w:r>
    </w:p>
    <w:p w:rsidR="00000000" w:rsidDel="00000000" w:rsidP="00000000" w:rsidRDefault="00000000" w:rsidRPr="00000000" w14:paraId="0000002F">
      <w:pP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Індивідуалізація здобуття вищої освіти з урахуванням вимог та практик ЄПВО: </w:t>
      </w:r>
    </w:p>
    <w:p w:rsidR="00000000" w:rsidDel="00000000" w:rsidP="00000000" w:rsidRDefault="00000000" w:rsidRPr="00000000" w14:paraId="00000030">
      <w:pP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розробка нових моделей управління процесами (зокрема через цифрові інструменти) у закладах вищої освіти для практичного впровадження індивідуальних освітніх траєкторій, гнучких термінів навчання; </w:t>
      </w:r>
    </w:p>
    <w:p w:rsidR="00000000" w:rsidDel="00000000" w:rsidP="00000000" w:rsidRDefault="00000000" w:rsidRPr="00000000" w14:paraId="00000031">
      <w:pP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запровадження міждисциплінарних освітніх програм на бакалаврському рівні, дуальної освіти на бакалаварському і магістерському рівнях; </w:t>
      </w:r>
    </w:p>
    <w:p w:rsidR="00000000" w:rsidDel="00000000" w:rsidP="00000000" w:rsidRDefault="00000000" w:rsidRPr="00000000" w14:paraId="00000032">
      <w:pP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посилення внутрішньої та зовнішньої мобільності здобувачів вищої освіти (фінансові, організаційні моделі), використання мобільності, зокрема здобувачів, як драйвера розвитку ЗВО, зарахування часткових та мікрокваліфікацій та результатів навчання внаслідок мобільності.</w:t>
      </w:r>
    </w:p>
    <w:p w:rsidR="00000000" w:rsidDel="00000000" w:rsidP="00000000" w:rsidRDefault="00000000" w:rsidRPr="00000000" w14:paraId="00000033">
      <w:pPr>
        <w:spacing w:after="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Національний пріоритет 6. Англійська як lingua franca вищої освіти </w:t>
      </w:r>
      <w:r w:rsidDel="00000000" w:rsidR="00000000" w:rsidRPr="00000000">
        <w:rPr>
          <w:rtl w:val="0"/>
        </w:rPr>
      </w:r>
    </w:p>
    <w:p w:rsidR="00000000" w:rsidDel="00000000" w:rsidP="00000000" w:rsidRDefault="00000000" w:rsidRPr="00000000" w14:paraId="00000035">
      <w:pP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формування культури використання англійської мови у вищій освіті як мови спілкування, викладання, навчання, дослідження та під час інших видів діяльності у ЗВО; </w:t>
      </w:r>
    </w:p>
    <w:p w:rsidR="00000000" w:rsidDel="00000000" w:rsidP="00000000" w:rsidRDefault="00000000" w:rsidRPr="00000000" w14:paraId="00000036">
      <w:pP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англомовні освітні програми, у тому числі відкриті для громадян України; тощо. </w:t>
      </w:r>
    </w:p>
    <w:p w:rsidR="00000000" w:rsidDel="00000000" w:rsidP="00000000" w:rsidRDefault="00000000" w:rsidRPr="00000000" w14:paraId="00000037">
      <w:pPr>
        <w:spacing w:after="12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8">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Національний пріоритет 7. Реформа педагогічної освіти </w:t>
      </w:r>
      <w:r w:rsidDel="00000000" w:rsidR="00000000" w:rsidRPr="00000000">
        <w:rPr>
          <w:rtl w:val="0"/>
        </w:rPr>
      </w:r>
    </w:p>
    <w:p w:rsidR="00000000" w:rsidDel="00000000" w:rsidP="00000000" w:rsidRDefault="00000000" w:rsidRPr="00000000" w14:paraId="00000039">
      <w:pP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оновлення підходів до підготовки та професійного розвитку вчителів в умовах невизначеності, впровадження нових моделей підготовки, перепідготовки і підвищення кваліфікації вчителів; </w:t>
      </w:r>
    </w:p>
    <w:p w:rsidR="00000000" w:rsidDel="00000000" w:rsidP="00000000" w:rsidRDefault="00000000" w:rsidRPr="00000000" w14:paraId="0000003A">
      <w:pP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розроблення підходів для збереження сталості кадрового потенціалу (teacher retainment) для навчання та викладання, посилення особистої стійкості вчителів; </w:t>
      </w:r>
    </w:p>
    <w:p w:rsidR="00000000" w:rsidDel="00000000" w:rsidP="00000000" w:rsidRDefault="00000000" w:rsidRPr="00000000" w14:paraId="0000003B">
      <w:pP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диверсифікація шляхів доступу до педагогічної професії, в тому числі розвиток лідерського потенціалу молоді.</w:t>
      </w:r>
    </w:p>
    <w:p w:rsidR="00000000" w:rsidDel="00000000" w:rsidP="00000000" w:rsidRDefault="00000000" w:rsidRPr="00000000" w14:paraId="0000003C">
      <w:pPr>
        <w:spacing w:after="120" w:line="240" w:lineRule="auto"/>
        <w:ind w:right="-4.724409448817823"/>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D">
      <w:pPr>
        <w:spacing w:after="12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Національний пріоритет 8. Розвиток відкритої науки в закладах вищої освіти:</w:t>
      </w:r>
    </w:p>
    <w:p w:rsidR="00000000" w:rsidDel="00000000" w:rsidP="00000000" w:rsidRDefault="00000000" w:rsidRPr="00000000" w14:paraId="0000003E">
      <w:pP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запровадження програм підготовки, підвищень кваліфікації, тренінгів, дистанційних курсів, що сприяють зростанню рівня компетентності науковців щодо принципів відкритої науки, зокрема з управління науковими даними;</w:t>
      </w:r>
    </w:p>
    <w:p w:rsidR="00000000" w:rsidDel="00000000" w:rsidP="00000000" w:rsidRDefault="00000000" w:rsidRPr="00000000" w14:paraId="0000003F">
      <w:pP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запровадження посад фахівців (data stewards) з питань впровадження принципів відкритої науки та принципів належного управління науковими даними (принципи FAIR), які забезпечують наповнення і належний супровід тематичних (галузевих) та інституційних репозитаріїв даних в закладах вищої освіти;</w:t>
      </w:r>
    </w:p>
    <w:p w:rsidR="00000000" w:rsidDel="00000000" w:rsidP="00000000" w:rsidRDefault="00000000" w:rsidRPr="00000000" w14:paraId="00000040">
      <w:pP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забезпечення методичного супроводу, фінансового забезпечення фахівців (data stewards) для роботи з програмним забезпеченням, яке використовується для наповнення репозитарію науковими даними, та користувачами репозитарію;</w:t>
      </w:r>
    </w:p>
    <w:p w:rsidR="00000000" w:rsidDel="00000000" w:rsidP="00000000" w:rsidRDefault="00000000" w:rsidRPr="00000000" w14:paraId="00000041">
      <w:pP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поширення кращого досвіду створення, наповнення і функціонування репозитарію наукових даних у закладах вищої освіти та обмін досвідом щодо підготовки фахівців data stewards.</w:t>
      </w:r>
    </w:p>
    <w:p w:rsidR="00000000" w:rsidDel="00000000" w:rsidP="00000000" w:rsidRDefault="00000000" w:rsidRPr="00000000" w14:paraId="00000042">
      <w:pPr>
        <w:spacing w:after="12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3">
      <w:pPr>
        <w:spacing w:after="12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Національний пріоритет 9. Розвиток проєктного менеджменту в закладах вищої освіти та наукових установах:</w:t>
      </w:r>
    </w:p>
    <w:p w:rsidR="00000000" w:rsidDel="00000000" w:rsidP="00000000" w:rsidRDefault="00000000" w:rsidRPr="00000000" w14:paraId="00000044">
      <w:pP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створення  програм з підготовки проєктних менеджерів для закладів вищої освіти та наукових установ, спрямованих на формування компетентностей щодо підготовки, подання та супроводу міжнародних і національних дослідницьких та інноваційних проєктів;</w:t>
      </w:r>
    </w:p>
    <w:p w:rsidR="00000000" w:rsidDel="00000000" w:rsidP="00000000" w:rsidRDefault="00000000" w:rsidRPr="00000000" w14:paraId="00000045">
      <w:pP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розроблення та впровадження програм підготовки, підвищення кваліфікації, тренінгів, дистанційних курсів, що забезпечують належний рівень обізнаності дослідників та працівників проєктних офісів щодо вимог і процедур участі у програмах ЄС, зокрема Горизонт Європа, Еразмус+ та інших грантових інструментах;</w:t>
      </w:r>
    </w:p>
    <w:p w:rsidR="00000000" w:rsidDel="00000000" w:rsidP="00000000" w:rsidRDefault="00000000" w:rsidRPr="00000000" w14:paraId="00000046">
      <w:pP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підготовка та організаційно-інформаційна підтримка фахівців – проєктних менеджерів у сфері досліджень та інновацій, які забезпечують ефективну організацію проєктного процесу в закладах вищої освіти та наукових установах, включно з управлінням проєктним циклом, бюджетуванням, юридичним супроводом, комунікаціями та звітністю за міжнародними стандартами;</w:t>
      </w:r>
    </w:p>
    <w:p w:rsidR="00000000" w:rsidDel="00000000" w:rsidP="00000000" w:rsidRDefault="00000000" w:rsidRPr="00000000" w14:paraId="00000047">
      <w:pP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запровадження посад проєктних менеджерів у науково-дослідних частинах, проєктних офісах та адміністративних підрозділах закладів вищої освіти та наукових установ;</w:t>
      </w:r>
    </w:p>
    <w:p w:rsidR="00000000" w:rsidDel="00000000" w:rsidP="00000000" w:rsidRDefault="00000000" w:rsidRPr="00000000" w14:paraId="00000048">
      <w:pP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забезпечення методичного супроводу, розроблення стандартів професійної підготовки та фінансового забезпечення діяльності проєктних менеджерів у сфері досліджень та інновацій, зокрема через підготовку навчальних матеріалів, рекомендацій та інструментів для роботи з грантовими програмами;</w:t>
      </w:r>
    </w:p>
    <w:p w:rsidR="00000000" w:rsidDel="00000000" w:rsidP="00000000" w:rsidRDefault="00000000" w:rsidRPr="00000000" w14:paraId="00000049">
      <w:pP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створення та впровадження практичних механізмів співпраці з європейськими університетами, дослідницькими організаціями та інноваційними центрами для обміну досвідом у сфері проєктного менеджменту;</w:t>
      </w:r>
    </w:p>
    <w:p w:rsidR="00000000" w:rsidDel="00000000" w:rsidP="00000000" w:rsidRDefault="00000000" w:rsidRPr="00000000" w14:paraId="0000004A">
      <w:pPr>
        <w:spacing w:after="120" w:line="240" w:lineRule="auto"/>
        <w:ind w:firstLine="566.9291338582675"/>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поширення кращих практик підготовки та супроводу проєктів ЄС у закладах вищої освіти та наукових установах, а також обмін досвідом між проєктними офісами, групами супроводу та фахівцями з управління дослідницькими та інноваційними проєктами.</w:t>
      </w:r>
      <w:r w:rsidDel="00000000" w:rsidR="00000000" w:rsidRPr="00000000">
        <w:rPr>
          <w:rtl w:val="0"/>
        </w:rPr>
      </w:r>
    </w:p>
    <w:p w:rsidR="00000000" w:rsidDel="00000000" w:rsidP="00000000" w:rsidRDefault="00000000" w:rsidRPr="00000000" w14:paraId="0000004B">
      <w:pPr>
        <w:spacing w:after="120" w:line="240" w:lineRule="auto"/>
        <w:ind w:right="-4.724409448817823" w:firstLine="566.9291338582675"/>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C">
      <w:pPr>
        <w:spacing w:after="120" w:line="240" w:lineRule="auto"/>
        <w:ind w:right="-4.724409448817823" w:firstLine="566.9291338582675"/>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D">
      <w:pPr>
        <w:spacing w:after="120" w:line="240" w:lineRule="auto"/>
        <w:ind w:right="-4.724409448817823" w:firstLine="566.9291338582675"/>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E">
      <w:pPr>
        <w:spacing w:after="120" w:line="240" w:lineRule="auto"/>
        <w:ind w:right="-4.724409448817823" w:firstLine="566.9291338582675"/>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F">
      <w:pPr>
        <w:spacing w:after="120" w:line="240" w:lineRule="auto"/>
        <w:ind w:right="-4.724409448817823" w:firstLine="566.9291338582675"/>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0">
      <w:pPr>
        <w:spacing w:after="120" w:line="240" w:lineRule="auto"/>
        <w:ind w:right="-4.724409448817823" w:firstLine="566.9291338582675"/>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1">
      <w:pPr>
        <w:spacing w:after="120" w:line="240" w:lineRule="auto"/>
        <w:ind w:right="-4.724409448817823" w:firstLine="566.9291338582675"/>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2">
      <w:pPr>
        <w:spacing w:after="120" w:line="240" w:lineRule="auto"/>
        <w:ind w:right="-4.724409448817823" w:firstLine="566.9291338582675"/>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3">
      <w:pPr>
        <w:spacing w:after="120" w:line="240" w:lineRule="auto"/>
        <w:ind w:right="-4.724409448817823" w:firstLine="566.9291338582675"/>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4">
      <w:pPr>
        <w:spacing w:after="120" w:line="240" w:lineRule="auto"/>
        <w:ind w:right="-4.724409448817823" w:firstLine="566.9291338582675"/>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5">
      <w:pPr>
        <w:spacing w:after="120" w:line="240" w:lineRule="auto"/>
        <w:ind w:right="-4.724409448817823" w:firstLine="566.9291338582675"/>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6">
      <w:pPr>
        <w:spacing w:after="120" w:line="240" w:lineRule="auto"/>
        <w:ind w:right="-4.724409448817823" w:firstLine="566.9291338582675"/>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7">
      <w:pPr>
        <w:spacing w:after="120" w:line="240" w:lineRule="auto"/>
        <w:ind w:right="-4.724409448817823" w:firstLine="566.9291338582675"/>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8">
      <w:pPr>
        <w:spacing w:after="120" w:line="240" w:lineRule="auto"/>
        <w:ind w:right="-4.724409448817823" w:firstLine="566.9291338582675"/>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9">
      <w:pPr>
        <w:spacing w:after="120" w:line="240" w:lineRule="auto"/>
        <w:ind w:right="-4.724409448817823" w:firstLine="566.9291338582675"/>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A">
      <w:pPr>
        <w:spacing w:after="120" w:line="240" w:lineRule="auto"/>
        <w:ind w:right="-4.724409448817823" w:firstLine="566.9291338582675"/>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B">
      <w:pPr>
        <w:spacing w:after="120" w:line="240" w:lineRule="auto"/>
        <w:ind w:right="-4.724409448817823" w:firstLine="566.9291338582675"/>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C">
      <w:pPr>
        <w:spacing w:after="120" w:line="240" w:lineRule="auto"/>
        <w:ind w:right="-4.724409448817823" w:firstLine="566.9291338582675"/>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D">
      <w:pPr>
        <w:spacing w:after="120" w:line="240" w:lineRule="auto"/>
        <w:ind w:right="-4.724409448817823" w:firstLine="566.9291338582675"/>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E">
      <w:pPr>
        <w:spacing w:after="120" w:line="240" w:lineRule="auto"/>
        <w:ind w:right="-4.724409448817823" w:firstLine="566.9291338582675"/>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F">
      <w:pPr>
        <w:spacing w:after="120" w:line="240" w:lineRule="auto"/>
        <w:ind w:right="-4.724409448817823" w:firstLine="566.9291338582675"/>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0">
      <w:pPr>
        <w:spacing w:after="120" w:line="240" w:lineRule="auto"/>
        <w:ind w:right="-4.724409448817823" w:firstLine="566.9291338582675"/>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1">
      <w:pPr>
        <w:spacing w:after="120" w:line="240" w:lineRule="auto"/>
        <w:ind w:left="0" w:right="-4.724409448817823" w:firstLine="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2">
      <w:pPr>
        <w:spacing w:after="120" w:before="0" w:lin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3 до листа МОН</w:t>
      </w:r>
    </w:p>
    <w:p w:rsidR="00000000" w:rsidDel="00000000" w:rsidP="00000000" w:rsidRDefault="00000000" w:rsidRPr="00000000" w14:paraId="00000063">
      <w:pPr>
        <w:spacing w:after="120" w:before="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4">
      <w:pPr>
        <w:spacing w:after="12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Національні пріоритети на 2026 рік </w:t>
      </w:r>
    </w:p>
    <w:p w:rsidR="00000000" w:rsidDel="00000000" w:rsidP="00000000" w:rsidRDefault="00000000" w:rsidRPr="00000000" w14:paraId="00000065">
      <w:pPr>
        <w:spacing w:after="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для підготовки проєктних заявок за напрямом </w:t>
      </w:r>
      <w:r w:rsidDel="00000000" w:rsidR="00000000" w:rsidRPr="00000000">
        <w:rPr>
          <w:rFonts w:ascii="Times New Roman" w:cs="Times New Roman" w:eastAsia="Times New Roman" w:hAnsi="Times New Roman"/>
          <w:b w:val="1"/>
          <w:bCs w:val="1"/>
          <w:i w:val="1"/>
          <w:iCs w:val="1"/>
          <w:sz w:val="28"/>
          <w:szCs w:val="28"/>
          <w:rtl w:val="0"/>
        </w:rPr>
        <w:t xml:space="preserve">КА2: Співпраця між організаціями та установами, тип проєкту: Розбудова потенціалу у сфері професійної та фахової передвищої освіти (далі – ПО та ФПО відповідно)</w:t>
      </w:r>
      <w:r w:rsidDel="00000000" w:rsidR="00000000" w:rsidRPr="00000000">
        <w:rPr>
          <w:rtl w:val="0"/>
        </w:rPr>
      </w:r>
    </w:p>
    <w:p w:rsidR="00000000" w:rsidDel="00000000" w:rsidP="00000000" w:rsidRDefault="00000000" w:rsidRPr="00000000" w14:paraId="00000066">
      <w:pPr>
        <w:shd w:fill="ffffff" w:val="clear"/>
        <w:spacing w:after="120" w:line="240" w:lineRule="auto"/>
        <w:jc w:val="both"/>
        <w:rPr>
          <w:rFonts w:ascii="Times New Roman" w:cs="Times New Roman" w:eastAsia="Times New Roman" w:hAnsi="Times New Roman"/>
          <w:i w:val="1"/>
          <w:iCs w:val="1"/>
          <w:sz w:val="28"/>
          <w:szCs w:val="28"/>
        </w:rPr>
      </w:pPr>
      <w:r w:rsidDel="00000000" w:rsidR="00000000" w:rsidRPr="00000000">
        <w:rPr>
          <w:rtl w:val="0"/>
        </w:rPr>
      </w:r>
    </w:p>
    <w:p w:rsidR="00000000" w:rsidDel="00000000" w:rsidP="00000000" w:rsidRDefault="00000000" w:rsidRPr="00000000" w14:paraId="00000067">
      <w:pPr>
        <w:shd w:fill="ffffff" w:val="clear"/>
        <w:spacing w:after="12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Національний пріоритет 1. Трансформація інфраструктури закладів професійної та фахової передвищої освіти</w:t>
      </w:r>
    </w:p>
    <w:p w:rsidR="00000000" w:rsidDel="00000000" w:rsidP="00000000" w:rsidRDefault="00000000" w:rsidRPr="00000000" w14:paraId="00000068">
      <w:pPr>
        <w:shd w:fill="ffffff" w:val="clea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оновлення освітнього простору, навчальної, виробничої та соціальної інфраструктури закладів професійної та фахової передвищої освіти з урахуванням доступності, безбар’єрності, енергоефективності та безпеки;</w:t>
      </w:r>
    </w:p>
    <w:p w:rsidR="00000000" w:rsidDel="00000000" w:rsidP="00000000" w:rsidRDefault="00000000" w:rsidRPr="00000000" w14:paraId="00000069">
      <w:pPr>
        <w:shd w:fill="ffffff" w:val="clea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підтримка у створенні центрів професійної досконалості як центрів впровадження інновацій в професійній освіті;</w:t>
      </w:r>
    </w:p>
    <w:p w:rsidR="00000000" w:rsidDel="00000000" w:rsidP="00000000" w:rsidRDefault="00000000" w:rsidRPr="00000000" w14:paraId="0000006A">
      <w:pPr>
        <w:shd w:fill="ffffff" w:val="clea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сприяння наданню освітніх послуг щодо профільної середньої освіти професійного спрямування, початкової професійної освіти і навчання впродовж життя. </w:t>
      </w:r>
    </w:p>
    <w:p w:rsidR="00000000" w:rsidDel="00000000" w:rsidP="00000000" w:rsidRDefault="00000000" w:rsidRPr="00000000" w14:paraId="0000006B">
      <w:pPr>
        <w:shd w:fill="ffffff" w:val="clear"/>
        <w:spacing w:after="12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C">
      <w:pPr>
        <w:shd w:fill="ffffff" w:val="clear"/>
        <w:spacing w:after="12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Національний пріоритет 2. Нові професії, сучасний зміст, короткострокові програми для розвитку особистостей та успішної кар’єри</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вивчення та апробація кращого європейського досвіду з розроблення та впровадження освітніх/навчальних програм для формування повних/часткових кваліфікацій, зокрема для жінок, ветеранів, внутрішньо переміщених осіб, осіб з інвалідністю та інших вразливих груп населення;</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розроблення інструментів оцінювання результатів навчання та професійних кваліфікацій, отриманих в системі формальної, неформальної та інформальної освіти, що створить рівні умови для трудової мобільності на місцевому, регіональному, національному та транснаціональному рівнях;</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запровадження навчання за новими професіями та спеціальностями, зокрема ІТ та зеленої енергетики;</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сприяння застосуванню STEAM-підходу до формування професійних знань та умінь;</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розвиток мережі центрів кар’єри закладів професійної і фахової передвищої освіти, запровадження інституту кар’єрних консультантів серед співробітників закладів.</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fffff" w:val="clea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3">
      <w:pPr>
        <w:shd w:fill="ffffff" w:val="clear"/>
        <w:spacing w:after="12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Національний пріоритет 3. Залучення бізнесу, автономія закладів професійної та фахової передвищої освіти, фінансування за результатами</w:t>
      </w:r>
    </w:p>
    <w:p w:rsidR="00000000" w:rsidDel="00000000" w:rsidP="00000000" w:rsidRDefault="00000000" w:rsidRPr="00000000" w14:paraId="00000074">
      <w:pPr>
        <w:shd w:fill="ffffff" w:val="clea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сприяння розвитку та постійному поліпшенню дуальної форми здобуття освіти, навчання на робочих місцях, розширення практичної підготовки, а також студентського підприємництва та підтримка стартапів;</w:t>
      </w:r>
    </w:p>
    <w:p w:rsidR="00000000" w:rsidDel="00000000" w:rsidP="00000000" w:rsidRDefault="00000000" w:rsidRPr="00000000" w14:paraId="00000075">
      <w:pPr>
        <w:shd w:fill="ffffff" w:val="clea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залучення стейкхолдерів до управління закладами професійної та фахової передвищої освіти, делегування їм частини функцій з управління закладами через створення наглядових рад;</w:t>
      </w:r>
    </w:p>
    <w:p w:rsidR="00000000" w:rsidDel="00000000" w:rsidP="00000000" w:rsidRDefault="00000000" w:rsidRPr="00000000" w14:paraId="00000076">
      <w:pPr>
        <w:shd w:fill="ffffff" w:val="clea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запровадження формульного фінансування закладів професійної освіти;</w:t>
      </w:r>
    </w:p>
    <w:p w:rsidR="00000000" w:rsidDel="00000000" w:rsidP="00000000" w:rsidRDefault="00000000" w:rsidRPr="00000000" w14:paraId="00000077">
      <w:pPr>
        <w:shd w:fill="ffffff" w:val="clea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створення інструментарію для проведення щорічного опитування випускників і роботодавців, зокрема з метою визначення потреб у фахівцях та навичках/компетентностях;</w:t>
      </w:r>
    </w:p>
    <w:p w:rsidR="00000000" w:rsidDel="00000000" w:rsidP="00000000" w:rsidRDefault="00000000" w:rsidRPr="00000000" w14:paraId="00000078">
      <w:pPr>
        <w:shd w:fill="ffffff" w:val="clea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промоція підприємництва та підприємливості серед молоді та дорослих; співпраці територіальних громад, регіонального бізнесу та закладів професійної та фахової передвищої освіти.</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hd w:fill="ffffff" w:val="clear"/>
        <w:spacing w:after="120" w:line="240" w:lineRule="auto"/>
        <w:ind w:left="4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7A">
      <w:pPr>
        <w:shd w:fill="ffffff" w:val="clear"/>
        <w:spacing w:after="12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Національний пріоритет 4. Привабливість та престижність для навчання і роботи у закладах професійної та фахової передвищої освіти</w:t>
      </w:r>
    </w:p>
    <w:p w:rsidR="00000000" w:rsidDel="00000000" w:rsidP="00000000" w:rsidRDefault="00000000" w:rsidRPr="00000000" w14:paraId="0000007B">
      <w:pPr>
        <w:shd w:fill="ffffff" w:val="clea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створення профорієнтаційних хабів - простору для отримання кар’єрної консультації задля розуміння сучасних професій;</w:t>
      </w:r>
    </w:p>
    <w:p w:rsidR="00000000" w:rsidDel="00000000" w:rsidP="00000000" w:rsidRDefault="00000000" w:rsidRPr="00000000" w14:paraId="0000007C">
      <w:pPr>
        <w:shd w:fill="ffffff" w:val="clea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залучення успішних фахівців-практиків до викладання та керівництва практичною підготовкою здобувачів освіти в закладах професійної та фахової передвищої освіти;</w:t>
      </w:r>
    </w:p>
    <w:p w:rsidR="00000000" w:rsidDel="00000000" w:rsidP="00000000" w:rsidRDefault="00000000" w:rsidRPr="00000000" w14:paraId="0000007D">
      <w:pPr>
        <w:shd w:fill="ffffff" w:val="clea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розроблення та впровадження нових програм підвищення кваліфікації і стажування педагогічних працівників, зокрема навчальних програм із менторства, фасилітації, тренерства, інклюзії, проєктного менеджменту; розроблення короткострокових програм, електронних освітніх матеріалів тощо.</w:t>
      </w:r>
    </w:p>
    <w:p w:rsidR="00000000" w:rsidDel="00000000" w:rsidP="00000000" w:rsidRDefault="00000000" w:rsidRPr="00000000" w14:paraId="0000007E">
      <w:pPr>
        <w:shd w:fill="ffffff" w:val="clea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проведення конкурсів фахової майстерності для здобувачів освіти та педагогічних працівників закладів професійної та фахової передвищої освіти;</w:t>
      </w:r>
    </w:p>
    <w:p w:rsidR="00000000" w:rsidDel="00000000" w:rsidP="00000000" w:rsidRDefault="00000000" w:rsidRPr="00000000" w14:paraId="0000007F">
      <w:pPr>
        <w:shd w:fill="ffffff" w:val="clea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розроблення та впровадження кампаній з популяризації робітничих професій та організації заходів щодо профорієнтації.</w:t>
      </w:r>
    </w:p>
    <w:p w:rsidR="00000000" w:rsidDel="00000000" w:rsidP="00000000" w:rsidRDefault="00000000" w:rsidRPr="00000000" w14:paraId="00000080">
      <w:pPr>
        <w:shd w:fill="ffffff" w:val="clear"/>
        <w:spacing w:after="12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1">
      <w:pPr>
        <w:shd w:fill="ffffff" w:val="clear"/>
        <w:spacing w:after="12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Національний пріоритет 5. Цифровізація і моніторинг якості освіти</w:t>
      </w:r>
    </w:p>
    <w:p w:rsidR="00000000" w:rsidDel="00000000" w:rsidP="00000000" w:rsidRDefault="00000000" w:rsidRPr="00000000" w14:paraId="00000082">
      <w:pPr>
        <w:shd w:fill="ffffff" w:val="clea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запровадження системи зовнішнього незалежного оцінювання професійних кваліфікацій, зокрема через створення мережі кваліфікаційних центрів, які забезпечують присвоєння професійних кваліфікацій на базі закладів професійної та фахової передвищої освіти;</w:t>
      </w:r>
    </w:p>
    <w:p w:rsidR="00000000" w:rsidDel="00000000" w:rsidP="00000000" w:rsidRDefault="00000000" w:rsidRPr="00000000" w14:paraId="00000083">
      <w:pPr>
        <w:shd w:fill="ffffff" w:val="clea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організація моніторингу професійної кар’єри випускників закладів професійної та фахової передвищої освіти;</w:t>
      </w:r>
    </w:p>
    <w:p w:rsidR="00000000" w:rsidDel="00000000" w:rsidP="00000000" w:rsidRDefault="00000000" w:rsidRPr="00000000" w14:paraId="00000084">
      <w:pPr>
        <w:shd w:fill="ffffff" w:val="clea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створення та активне використання електронних освітніх ресурсів та онлайн-курсів в освітньому процесі закладів професійної та фахової передвищої освіти;</w:t>
      </w:r>
    </w:p>
    <w:p w:rsidR="00000000" w:rsidDel="00000000" w:rsidP="00000000" w:rsidRDefault="00000000" w:rsidRPr="00000000" w14:paraId="00000085">
      <w:pPr>
        <w:shd w:fill="ffffff" w:val="clea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застосування технологій віртуальної та доповненої реальності, тренажерів з їхнім використанням для навчання і формування практичних навичок у здобувачів освіти;</w:t>
      </w:r>
    </w:p>
    <w:p w:rsidR="00000000" w:rsidDel="00000000" w:rsidP="00000000" w:rsidRDefault="00000000" w:rsidRPr="00000000" w14:paraId="00000086">
      <w:pPr>
        <w:shd w:fill="ffffff" w:val="clea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упровадження сучасних ефективних навчальних технологій у закладах професійної та фахової передвищої освіти, які забезпечують високий рівень засвоєння навчального матеріалу та формування практичних навичок, зокрема з використанням штучного інтелекту;</w:t>
      </w:r>
    </w:p>
    <w:p w:rsidR="00000000" w:rsidDel="00000000" w:rsidP="00000000" w:rsidRDefault="00000000" w:rsidRPr="00000000" w14:paraId="00000087">
      <w:pPr>
        <w:shd w:fill="ffffff" w:val="clea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упровадження ключових показників ефективності для керівників закладів професійної та фахової передвищої освіти;</w:t>
      </w:r>
    </w:p>
    <w:p w:rsidR="00000000" w:rsidDel="00000000" w:rsidP="00000000" w:rsidRDefault="00000000" w:rsidRPr="00000000" w14:paraId="00000088">
      <w:pPr>
        <w:shd w:fill="ffffff" w:val="clea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цифрова трансформація операційних процесів у закладах професійної та фахової передвищої освіти.</w:t>
      </w:r>
    </w:p>
    <w:p w:rsidR="00000000" w:rsidDel="00000000" w:rsidP="00000000" w:rsidRDefault="00000000" w:rsidRPr="00000000" w14:paraId="00000089">
      <w:pPr>
        <w:shd w:fill="ffffff" w:val="clea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A">
      <w:pPr>
        <w:shd w:fill="ffffff" w:val="clear"/>
        <w:spacing w:after="12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Національний пріоритет 6. Мобільність та інтернаціоналізація</w:t>
      </w:r>
    </w:p>
    <w:p w:rsidR="00000000" w:rsidDel="00000000" w:rsidP="00000000" w:rsidRDefault="00000000" w:rsidRPr="00000000" w14:paraId="0000008B">
      <w:pPr>
        <w:shd w:fill="ffffff" w:val="clea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сприяння внутрішній та міжнародній мобільності здобувачів професійної та фахової передвищої освіти з метою доступу до новітніх технологій та обладнання;</w:t>
      </w:r>
    </w:p>
    <w:p w:rsidR="00000000" w:rsidDel="00000000" w:rsidP="00000000" w:rsidRDefault="00000000" w:rsidRPr="00000000" w14:paraId="0000008C">
      <w:pPr>
        <w:shd w:fill="ffffff" w:val="clea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обмін кращими практиками підготовки громадян до зелених і цифрових переходів для забезпечення сталого розвиток та економічної спроможності суспільства;</w:t>
      </w:r>
    </w:p>
    <w:p w:rsidR="00000000" w:rsidDel="00000000" w:rsidP="00000000" w:rsidRDefault="00000000" w:rsidRPr="00000000" w14:paraId="0000008D">
      <w:pPr>
        <w:shd w:fill="ffffff" w:val="clear"/>
        <w:spacing w:after="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залучення носіїв англійської мови як педагогів для реалізації освітніх програм за конкретними професіями, розроблення та реалізація навчальних програм вивчення англійської мови для молоді, педагогічних працівників закладів професійної та фахової передвищої освіти.</w:t>
      </w:r>
    </w:p>
    <w:p w:rsidR="00000000" w:rsidDel="00000000" w:rsidP="00000000" w:rsidRDefault="00000000" w:rsidRPr="00000000" w14:paraId="0000008E">
      <w:pPr>
        <w:shd w:fill="ffffff" w:val="clear"/>
        <w:spacing w:after="120" w:line="240" w:lineRule="auto"/>
        <w:jc w:val="both"/>
        <w:rPr>
          <w:rFonts w:ascii="Times New Roman" w:cs="Times New Roman" w:eastAsia="Times New Roman" w:hAnsi="Times New Roman"/>
          <w:i w:val="1"/>
          <w:iCs w:val="1"/>
          <w:sz w:val="28"/>
          <w:szCs w:val="28"/>
        </w:rPr>
      </w:pPr>
      <w:r w:rsidDel="00000000" w:rsidR="00000000" w:rsidRPr="00000000">
        <w:rPr>
          <w:rtl w:val="0"/>
        </w:rPr>
      </w:r>
    </w:p>
    <w:p w:rsidR="00000000" w:rsidDel="00000000" w:rsidP="00000000" w:rsidRDefault="00000000" w:rsidRPr="00000000" w14:paraId="0000008F">
      <w:pPr>
        <w:shd w:fill="ffffff" w:val="clear"/>
        <w:spacing w:after="120" w:line="240" w:lineRule="auto"/>
        <w:jc w:val="both"/>
        <w:rPr>
          <w:rFonts w:ascii="Times New Roman" w:cs="Times New Roman" w:eastAsia="Times New Roman" w:hAnsi="Times New Roman"/>
          <w:i w:val="1"/>
          <w:iCs w:val="1"/>
          <w:sz w:val="28"/>
          <w:szCs w:val="28"/>
        </w:rPr>
      </w:pPr>
      <w:r w:rsidDel="00000000" w:rsidR="00000000" w:rsidRPr="00000000">
        <w:rPr>
          <w:rtl w:val="0"/>
        </w:rPr>
      </w:r>
    </w:p>
    <w:p w:rsidR="00000000" w:rsidDel="00000000" w:rsidP="00000000" w:rsidRDefault="00000000" w:rsidRPr="00000000" w14:paraId="00000090">
      <w:pPr>
        <w:spacing w:after="120" w:before="0" w:line="240" w:lineRule="auto"/>
        <w:ind w:left="0" w:firstLine="566.9291338582675"/>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91">
      <w:pPr>
        <w:spacing w:after="120" w:before="0" w:line="240" w:lineRule="auto"/>
        <w:jc w:val="both"/>
        <w:rPr>
          <w:rFonts w:ascii="Times New Roman" w:cs="Times New Roman" w:eastAsia="Times New Roman" w:hAnsi="Times New Roman"/>
          <w:b w:val="1"/>
          <w:bCs w:val="1"/>
          <w:sz w:val="28"/>
          <w:szCs w:val="28"/>
        </w:rPr>
      </w:pPr>
      <w:r w:rsidDel="00000000" w:rsidR="00000000" w:rsidRPr="00000000">
        <w:rPr>
          <w:rtl w:val="0"/>
        </w:rPr>
      </w:r>
    </w:p>
    <w:sectPr>
      <w:headerReference r:id="rId8" w:type="default"/>
      <w:headerReference r:id="rId9" w:type="first"/>
      <w:footerReference r:id="rId10" w:type="first"/>
      <w:pgSz w:h="16834" w:w="11909" w:orient="portrait"/>
      <w:pgMar w:bottom="1700.7874015748032" w:top="1133.8582677165355" w:left="1700.7874015748032" w:right="566.9291338582677"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hyperlink r:id="rId1">
        <w:r w:rsidDel="00000000" w:rsidR="00000000" w:rsidRPr="00000000">
          <w:rPr>
            <w:rFonts w:ascii="Times New Roman" w:cs="Times New Roman" w:eastAsia="Times New Roman" w:hAnsi="Times New Roman"/>
            <w:color w:val="1155cc"/>
            <w:sz w:val="20"/>
            <w:szCs w:val="20"/>
            <w:u w:val="single"/>
            <w:rtl w:val="0"/>
          </w:rPr>
          <w:t xml:space="preserve">https://eur-lex.europa.eu/legal-content/EN/ALL/?uri=CELEX:32021G0226(01)</w:t>
        </w:r>
      </w:hyperlink>
      <w:r w:rsidDel="00000000" w:rsidR="00000000" w:rsidRPr="00000000">
        <w:rPr>
          <w:rFonts w:ascii="Times New Roman" w:cs="Times New Roman" w:eastAsia="Times New Roman" w:hAnsi="Times New Roman"/>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jc w:val="center"/>
      <w:rPr/>
    </w:pPr>
    <w:r w:rsidDel="00000000" w:rsidR="00000000" w:rsidRPr="00000000">
      <w:rPr>
        <w:rFonts w:ascii="Times New Roman" w:cs="Times New Roman" w:eastAsia="Times New Roman" w:hAnsi="Times New Roman"/>
        <w:sz w:val="28"/>
        <w:szCs w:val="28"/>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ALL/?uri=CELEX:32021G0226(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MWKNuSvNztr8avEUjPfl2VRJMA==">CgMxLjAyDmguY3hkZWE4azZmMHU1Mg5oLjJxNWliNXl3eDR4YjIOaC52eTgzOW5udHk3OGg4AHIhMWdCSVpJcnFpaHJ5MUpYRkRlR1cyczZrQXp4cVM2US1Y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